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8788F88" w:rsidR="00C9609D" w:rsidRPr="00650312" w:rsidRDefault="00D533A7">
      <w:pPr>
        <w:widowControl w:val="0"/>
        <w:spacing w:line="248" w:lineRule="auto"/>
        <w:ind w:right="-45" w:firstLine="0"/>
        <w:rPr>
          <w:rFonts w:eastAsia="Lustria"/>
          <w:b/>
          <w:sz w:val="28"/>
          <w:szCs w:val="28"/>
        </w:rPr>
      </w:pPr>
      <w:r w:rsidRPr="00650312">
        <w:rPr>
          <w:rFonts w:eastAsia="Lustria"/>
          <w:b/>
          <w:sz w:val="28"/>
          <w:szCs w:val="28"/>
        </w:rPr>
        <w:t xml:space="preserve"> </w:t>
      </w:r>
      <w:r w:rsidR="00467A12" w:rsidRPr="00650312">
        <w:rPr>
          <w:rFonts w:eastAsia="Lustria"/>
          <w:b/>
          <w:sz w:val="28"/>
          <w:szCs w:val="28"/>
        </w:rPr>
        <w:t>Bank Indonesia’s Strategy to Maintain Price Stability Amid Global Challenges</w:t>
      </w:r>
    </w:p>
    <w:p w14:paraId="00000002" w14:textId="77777777" w:rsidR="00C9609D" w:rsidRPr="00650312" w:rsidRDefault="00C9609D">
      <w:pPr>
        <w:widowControl w:val="0"/>
        <w:spacing w:line="248" w:lineRule="auto"/>
        <w:ind w:right="-45" w:firstLine="0"/>
        <w:rPr>
          <w:rFonts w:eastAsia="Lustria"/>
          <w:b/>
          <w:sz w:val="24"/>
          <w:szCs w:val="24"/>
        </w:rPr>
      </w:pPr>
    </w:p>
    <w:p w14:paraId="00000003" w14:textId="77777777" w:rsidR="00C9609D" w:rsidRPr="00650312" w:rsidRDefault="00D533A7">
      <w:pPr>
        <w:ind w:firstLine="0"/>
        <w:rPr>
          <w:rFonts w:eastAsia="Lustria"/>
          <w:b/>
          <w:sz w:val="22"/>
          <w:szCs w:val="22"/>
        </w:rPr>
      </w:pPr>
      <w:r w:rsidRPr="00650312">
        <w:rPr>
          <w:rFonts w:eastAsia="Lustria"/>
          <w:b/>
          <w:sz w:val="22"/>
          <w:szCs w:val="22"/>
        </w:rPr>
        <w:t>Refani Inadiah Ascuci</w:t>
      </w:r>
      <w:r w:rsidRPr="00650312">
        <w:rPr>
          <w:rFonts w:eastAsia="Lustria"/>
          <w:b/>
          <w:sz w:val="22"/>
          <w:szCs w:val="22"/>
          <w:vertAlign w:val="superscript"/>
        </w:rPr>
        <w:t>1</w:t>
      </w:r>
      <w:r w:rsidRPr="00650312">
        <w:rPr>
          <w:rFonts w:eastAsia="Lustria"/>
          <w:b/>
          <w:sz w:val="22"/>
          <w:szCs w:val="22"/>
        </w:rPr>
        <w:t>, Muhammad Al Farizi</w:t>
      </w:r>
      <w:r w:rsidRPr="00650312">
        <w:rPr>
          <w:rFonts w:eastAsia="Lustria"/>
          <w:b/>
          <w:sz w:val="22"/>
          <w:szCs w:val="22"/>
          <w:vertAlign w:val="superscript"/>
        </w:rPr>
        <w:t>2</w:t>
      </w:r>
      <w:r w:rsidRPr="00650312">
        <w:rPr>
          <w:rFonts w:eastAsia="Lustria"/>
          <w:b/>
          <w:sz w:val="22"/>
          <w:szCs w:val="22"/>
        </w:rPr>
        <w:t>, Ilhan Putra Pratama</w:t>
      </w:r>
      <w:r w:rsidRPr="00650312">
        <w:rPr>
          <w:rFonts w:eastAsia="Lustria"/>
          <w:b/>
          <w:sz w:val="22"/>
          <w:szCs w:val="22"/>
          <w:vertAlign w:val="superscript"/>
        </w:rPr>
        <w:t>3</w:t>
      </w:r>
      <w:r w:rsidRPr="00650312">
        <w:rPr>
          <w:rFonts w:eastAsia="Lustria"/>
          <w:b/>
          <w:sz w:val="22"/>
          <w:szCs w:val="22"/>
        </w:rPr>
        <w:t xml:space="preserve">, </w:t>
      </w:r>
    </w:p>
    <w:p w14:paraId="00000004" w14:textId="77777777" w:rsidR="00C9609D" w:rsidRPr="00650312" w:rsidRDefault="00D533A7">
      <w:pPr>
        <w:ind w:firstLine="0"/>
        <w:rPr>
          <w:rFonts w:eastAsia="Lustria"/>
          <w:b/>
          <w:sz w:val="22"/>
          <w:szCs w:val="22"/>
          <w:vertAlign w:val="superscript"/>
        </w:rPr>
      </w:pPr>
      <w:r w:rsidRPr="00650312">
        <w:rPr>
          <w:rFonts w:eastAsia="Lustria"/>
          <w:b/>
          <w:sz w:val="22"/>
          <w:szCs w:val="22"/>
        </w:rPr>
        <w:t>Achmad Denny Hermawan</w:t>
      </w:r>
      <w:r w:rsidRPr="00650312">
        <w:rPr>
          <w:rFonts w:eastAsia="Lustria"/>
          <w:b/>
          <w:sz w:val="22"/>
          <w:szCs w:val="22"/>
          <w:vertAlign w:val="superscript"/>
        </w:rPr>
        <w:t>4</w:t>
      </w:r>
      <w:r w:rsidRPr="00650312">
        <w:rPr>
          <w:rFonts w:eastAsia="Lustria"/>
          <w:b/>
          <w:sz w:val="22"/>
          <w:szCs w:val="22"/>
        </w:rPr>
        <w:t>, Demas Adzymatullah</w:t>
      </w:r>
      <w:r w:rsidRPr="00650312">
        <w:rPr>
          <w:rFonts w:eastAsia="Lustria"/>
          <w:b/>
          <w:sz w:val="22"/>
          <w:szCs w:val="22"/>
          <w:vertAlign w:val="superscript"/>
        </w:rPr>
        <w:t>5</w:t>
      </w:r>
    </w:p>
    <w:p w14:paraId="00000005" w14:textId="77777777" w:rsidR="00C9609D" w:rsidRPr="00650312" w:rsidRDefault="00C9609D">
      <w:pPr>
        <w:ind w:firstLine="0"/>
        <w:rPr>
          <w:rFonts w:eastAsia="Lustria"/>
          <w:b/>
          <w:sz w:val="24"/>
          <w:szCs w:val="24"/>
        </w:rPr>
      </w:pPr>
    </w:p>
    <w:p w14:paraId="00000006" w14:textId="77777777" w:rsidR="00C9609D" w:rsidRPr="00650312" w:rsidRDefault="00D533A7">
      <w:pPr>
        <w:ind w:firstLine="0"/>
        <w:rPr>
          <w:rFonts w:eastAsia="Lustria"/>
          <w:sz w:val="24"/>
          <w:szCs w:val="24"/>
        </w:rPr>
      </w:pPr>
      <w:r w:rsidRPr="00650312">
        <w:rPr>
          <w:rFonts w:eastAsia="Lustria"/>
          <w:sz w:val="24"/>
          <w:szCs w:val="24"/>
          <w:vertAlign w:val="superscript"/>
        </w:rPr>
        <w:t>1,2,3,4,5</w:t>
      </w:r>
      <w:r w:rsidRPr="00650312">
        <w:rPr>
          <w:rFonts w:eastAsia="Lustria"/>
          <w:sz w:val="24"/>
          <w:szCs w:val="24"/>
        </w:rPr>
        <w:t>Universitas Pancasakti, Tegal</w:t>
      </w:r>
    </w:p>
    <w:p w14:paraId="00000007" w14:textId="77777777" w:rsidR="00C9609D" w:rsidRPr="00650312" w:rsidRDefault="00C9609D">
      <w:pPr>
        <w:ind w:firstLine="0"/>
        <w:rPr>
          <w:rFonts w:eastAsia="Lustria"/>
          <w:b/>
          <w:sz w:val="24"/>
          <w:szCs w:val="24"/>
        </w:rPr>
      </w:pPr>
    </w:p>
    <w:p w14:paraId="00000009" w14:textId="392B4146" w:rsidR="00C9609D" w:rsidRPr="00650312" w:rsidRDefault="00027ABC">
      <w:pPr>
        <w:ind w:firstLine="0"/>
        <w:rPr>
          <w:rFonts w:eastAsia="Lustria"/>
          <w:sz w:val="24"/>
          <w:szCs w:val="24"/>
        </w:rPr>
      </w:pPr>
      <w:r w:rsidRPr="00650312">
        <w:rPr>
          <w:rFonts w:eastAsia="Lustria"/>
          <w:sz w:val="24"/>
          <w:szCs w:val="24"/>
        </w:rPr>
        <w:t>Email</w:t>
      </w:r>
      <w:r w:rsidR="00D533A7" w:rsidRPr="00650312">
        <w:rPr>
          <w:rFonts w:eastAsia="Lustria"/>
          <w:sz w:val="24"/>
          <w:szCs w:val="24"/>
        </w:rPr>
        <w:t xml:space="preserve"> </w:t>
      </w:r>
      <w:r w:rsidR="00B170AF" w:rsidRPr="00650312">
        <w:rPr>
          <w:rFonts w:eastAsia="Lustria"/>
          <w:sz w:val="24"/>
          <w:szCs w:val="24"/>
        </w:rPr>
        <w:t>correspondent</w:t>
      </w:r>
      <w:r w:rsidR="00D533A7" w:rsidRPr="00650312">
        <w:rPr>
          <w:rFonts w:eastAsia="Lustria"/>
          <w:sz w:val="24"/>
          <w:szCs w:val="24"/>
        </w:rPr>
        <w:t>:</w:t>
      </w:r>
      <w:r w:rsidR="00365A67" w:rsidRPr="00650312">
        <w:rPr>
          <w:rFonts w:eastAsia="Lustria"/>
          <w:sz w:val="24"/>
          <w:szCs w:val="24"/>
        </w:rPr>
        <w:t xml:space="preserve"> </w:t>
      </w:r>
      <w:hyperlink r:id="rId6" w:history="1">
        <w:r w:rsidR="001A2DF8" w:rsidRPr="00650312">
          <w:rPr>
            <w:rStyle w:val="Hyperlink"/>
            <w:rFonts w:eastAsia="Lustria"/>
            <w:sz w:val="24"/>
            <w:szCs w:val="24"/>
          </w:rPr>
          <w:t>refaniinadiah05@gmail.com</w:t>
        </w:r>
      </w:hyperlink>
      <w:r w:rsidR="001A2DF8" w:rsidRPr="00650312">
        <w:rPr>
          <w:rFonts w:eastAsia="Lustria"/>
          <w:sz w:val="24"/>
          <w:szCs w:val="24"/>
        </w:rPr>
        <w:t xml:space="preserve">, </w:t>
      </w:r>
      <w:hyperlink r:id="rId7" w:history="1">
        <w:r w:rsidR="00655C7C" w:rsidRPr="00650312">
          <w:rPr>
            <w:rStyle w:val="Hyperlink"/>
            <w:rFonts w:eastAsia="Lustria"/>
            <w:sz w:val="24"/>
            <w:szCs w:val="24"/>
          </w:rPr>
          <w:t>muhammadalfarizi@gmail.com</w:t>
        </w:r>
      </w:hyperlink>
      <w:r w:rsidR="00655C7C" w:rsidRPr="00650312">
        <w:rPr>
          <w:rFonts w:eastAsia="Lustria"/>
          <w:sz w:val="24"/>
          <w:szCs w:val="24"/>
        </w:rPr>
        <w:t xml:space="preserve">, </w:t>
      </w:r>
      <w:hyperlink r:id="rId8" w:history="1">
        <w:r w:rsidR="00103978" w:rsidRPr="00650312">
          <w:rPr>
            <w:rStyle w:val="Hyperlink"/>
            <w:rFonts w:eastAsia="Lustria"/>
            <w:sz w:val="24"/>
            <w:szCs w:val="24"/>
          </w:rPr>
          <w:t>ilhanputra@gmail.com</w:t>
        </w:r>
      </w:hyperlink>
      <w:r w:rsidR="00103978" w:rsidRPr="00650312">
        <w:rPr>
          <w:rFonts w:eastAsia="Lustria"/>
          <w:sz w:val="24"/>
          <w:szCs w:val="24"/>
        </w:rPr>
        <w:t xml:space="preserve">, </w:t>
      </w:r>
      <w:hyperlink r:id="rId9" w:history="1">
        <w:r w:rsidR="00AD1BE8" w:rsidRPr="00650312">
          <w:rPr>
            <w:rStyle w:val="Hyperlink"/>
            <w:rFonts w:eastAsia="Lustria"/>
            <w:sz w:val="24"/>
            <w:szCs w:val="24"/>
          </w:rPr>
          <w:t>ahmaddenny@gmail.com</w:t>
        </w:r>
      </w:hyperlink>
      <w:r w:rsidR="00AD1BE8" w:rsidRPr="00650312">
        <w:rPr>
          <w:rFonts w:eastAsia="Lustria"/>
          <w:sz w:val="24"/>
          <w:szCs w:val="24"/>
        </w:rPr>
        <w:t xml:space="preserve">, </w:t>
      </w:r>
      <w:hyperlink r:id="rId10" w:history="1">
        <w:r w:rsidR="00832399" w:rsidRPr="00650312">
          <w:rPr>
            <w:rStyle w:val="Hyperlink"/>
            <w:rFonts w:eastAsia="Lustria"/>
            <w:sz w:val="24"/>
            <w:szCs w:val="24"/>
          </w:rPr>
          <w:t>demasandzy@gmail.com</w:t>
        </w:r>
      </w:hyperlink>
    </w:p>
    <w:p w14:paraId="0000000A" w14:textId="77777777" w:rsidR="00C9609D" w:rsidRPr="00650312" w:rsidRDefault="00D533A7">
      <w:pPr>
        <w:ind w:firstLine="0"/>
        <w:rPr>
          <w:rFonts w:eastAsia="Lustria"/>
          <w:sz w:val="24"/>
          <w:szCs w:val="24"/>
        </w:rPr>
      </w:pPr>
      <w:r w:rsidRPr="00650312">
        <w:rPr>
          <w:rFonts w:eastAsia="Lustria"/>
          <w:sz w:val="24"/>
          <w:szCs w:val="24"/>
        </w:rPr>
        <w:t xml:space="preserve"> </w:t>
      </w:r>
    </w:p>
    <w:p w14:paraId="0000000B" w14:textId="77777777" w:rsidR="00C9609D" w:rsidRPr="00F64ECB" w:rsidRDefault="00D533A7">
      <w:pPr>
        <w:pStyle w:val="Judul2"/>
        <w:spacing w:before="0" w:after="0"/>
        <w:ind w:firstLine="0"/>
        <w:rPr>
          <w:rFonts w:eastAsia="Lustria"/>
          <w:iCs/>
          <w:sz w:val="24"/>
          <w:szCs w:val="24"/>
        </w:rPr>
      </w:pPr>
      <w:r w:rsidRPr="00F64ECB">
        <w:rPr>
          <w:rFonts w:eastAsia="Lustria"/>
          <w:iCs/>
          <w:sz w:val="24"/>
          <w:szCs w:val="24"/>
        </w:rPr>
        <w:t>Abstrak</w:t>
      </w:r>
    </w:p>
    <w:p w14:paraId="0000000C" w14:textId="36D46539" w:rsidR="00C9609D" w:rsidRPr="00F64ECB" w:rsidRDefault="00D533A7">
      <w:pPr>
        <w:ind w:firstLine="0"/>
        <w:jc w:val="both"/>
        <w:rPr>
          <w:rFonts w:eastAsia="Lustria"/>
          <w:i/>
          <w:iCs/>
          <w:sz w:val="24"/>
          <w:szCs w:val="24"/>
        </w:rPr>
      </w:pPr>
      <w:r w:rsidRPr="00F64ECB">
        <w:rPr>
          <w:rFonts w:eastAsia="Lustria"/>
          <w:i/>
          <w:iCs/>
          <w:sz w:val="24"/>
          <w:szCs w:val="24"/>
        </w:rPr>
        <w:t>Kebijakan moneter Indonesia berfokus pada menjaga stabilitas harga di tengah tantangan global yang kompleks. Bank Indonesia (BI) berkomitmen untuk mempertahankan suku bunga, stabilitas nilai tukar rupiah, dan mendorong pertumbuhan ekonomi melalui kebijakan makroprudensial yang longgar. Penelitian ini menganalisis efektivitas kebijakan moneter dalam mencapai tujuan tersebut.</w:t>
      </w:r>
    </w:p>
    <w:p w14:paraId="0D3C0990" w14:textId="77777777" w:rsidR="00137BE8" w:rsidRPr="00F64ECB" w:rsidRDefault="00137BE8">
      <w:pPr>
        <w:ind w:firstLine="0"/>
        <w:jc w:val="both"/>
        <w:rPr>
          <w:rFonts w:eastAsia="Lustria"/>
          <w:i/>
          <w:iCs/>
          <w:sz w:val="24"/>
          <w:szCs w:val="24"/>
        </w:rPr>
      </w:pPr>
    </w:p>
    <w:p w14:paraId="0000000D" w14:textId="77777777" w:rsidR="00C9609D" w:rsidRPr="00F64ECB" w:rsidRDefault="00D533A7">
      <w:pPr>
        <w:ind w:firstLine="0"/>
        <w:jc w:val="both"/>
        <w:rPr>
          <w:rFonts w:eastAsia="Lustria"/>
          <w:i/>
          <w:iCs/>
          <w:sz w:val="24"/>
          <w:szCs w:val="24"/>
        </w:rPr>
      </w:pPr>
      <w:r w:rsidRPr="00F64ECB">
        <w:rPr>
          <w:rFonts w:eastAsia="Lustria"/>
          <w:b/>
          <w:i/>
          <w:iCs/>
          <w:sz w:val="24"/>
          <w:szCs w:val="24"/>
        </w:rPr>
        <w:t xml:space="preserve">Kata Kunci: </w:t>
      </w:r>
      <w:r w:rsidRPr="00F64ECB">
        <w:rPr>
          <w:rFonts w:eastAsia="Lustria"/>
          <w:i/>
          <w:iCs/>
          <w:sz w:val="24"/>
          <w:szCs w:val="24"/>
        </w:rPr>
        <w:t>Kebijakan moneter, stabilitas harga, Bank Indonesia (BI), tantangan global, efektivitas, inflasi, pertumbuhan ekonomi.</w:t>
      </w:r>
    </w:p>
    <w:p w14:paraId="0000000E" w14:textId="77777777" w:rsidR="00C9609D" w:rsidRPr="00F64ECB" w:rsidRDefault="00C9609D">
      <w:pPr>
        <w:ind w:firstLine="0"/>
        <w:jc w:val="both"/>
        <w:rPr>
          <w:rFonts w:eastAsia="Lustria"/>
          <w:i/>
          <w:color w:val="000000"/>
          <w:sz w:val="24"/>
          <w:szCs w:val="24"/>
        </w:rPr>
      </w:pPr>
    </w:p>
    <w:p w14:paraId="0000000F" w14:textId="77777777" w:rsidR="00C9609D" w:rsidRPr="00F64ECB" w:rsidRDefault="00D533A7">
      <w:pPr>
        <w:ind w:firstLine="0"/>
        <w:rPr>
          <w:rFonts w:eastAsia="Lustria"/>
          <w:b/>
          <w:i/>
          <w:sz w:val="24"/>
          <w:szCs w:val="24"/>
        </w:rPr>
      </w:pPr>
      <w:r w:rsidRPr="00F64ECB">
        <w:rPr>
          <w:rFonts w:eastAsia="Lustria"/>
          <w:b/>
          <w:i/>
          <w:sz w:val="24"/>
          <w:szCs w:val="24"/>
        </w:rPr>
        <w:t>Abstract</w:t>
      </w:r>
    </w:p>
    <w:p w14:paraId="00000010" w14:textId="31C46447" w:rsidR="00C9609D" w:rsidRPr="00F64ECB" w:rsidRDefault="00D533A7">
      <w:pPr>
        <w:pStyle w:val="Judul3"/>
        <w:rPr>
          <w:rFonts w:eastAsia="Lustria"/>
          <w:sz w:val="24"/>
          <w:szCs w:val="24"/>
        </w:rPr>
      </w:pPr>
      <w:r w:rsidRPr="00F64ECB">
        <w:rPr>
          <w:rFonts w:eastAsia="Lustria"/>
          <w:sz w:val="24"/>
          <w:szCs w:val="24"/>
        </w:rPr>
        <w:t>Indonesia’s monetary policy focuses on maintaining price stability amid complex global challenges. Bank Indonesia (BI) is committed to maintaining interest rates, rupiah exchange rate stability, and promoting economic growth through loose macroprudential policies. This study analyzes the effectiveness of monetary policy in achieving these objectives.</w:t>
      </w:r>
    </w:p>
    <w:p w14:paraId="5647C1D2" w14:textId="19E380D0" w:rsidR="009E29E3" w:rsidRPr="00F64ECB" w:rsidRDefault="009E29E3" w:rsidP="009E29E3">
      <w:pPr>
        <w:rPr>
          <w:rFonts w:eastAsia="Lustria"/>
          <w:sz w:val="24"/>
          <w:szCs w:val="24"/>
        </w:rPr>
      </w:pPr>
    </w:p>
    <w:p w14:paraId="47D17824" w14:textId="10FFFDDB" w:rsidR="009E29E3" w:rsidRPr="00F64ECB" w:rsidRDefault="00D632F4" w:rsidP="00D632F4">
      <w:pPr>
        <w:ind w:firstLine="0"/>
        <w:jc w:val="left"/>
        <w:rPr>
          <w:rFonts w:eastAsia="Lustria"/>
          <w:sz w:val="24"/>
          <w:szCs w:val="24"/>
        </w:rPr>
      </w:pPr>
      <w:r w:rsidRPr="00F64ECB">
        <w:rPr>
          <w:rFonts w:eastAsia="Lustria"/>
          <w:b/>
          <w:bCs/>
          <w:sz w:val="24"/>
          <w:szCs w:val="24"/>
        </w:rPr>
        <w:t>Keyword</w:t>
      </w:r>
      <w:r w:rsidR="009E29E3" w:rsidRPr="00F64ECB">
        <w:rPr>
          <w:rFonts w:eastAsia="Lustria"/>
          <w:b/>
          <w:bCs/>
          <w:sz w:val="24"/>
          <w:szCs w:val="24"/>
        </w:rPr>
        <w:t>:</w:t>
      </w:r>
      <w:r w:rsidR="009E29E3" w:rsidRPr="00F64ECB">
        <w:rPr>
          <w:rFonts w:eastAsia="Lustria"/>
          <w:sz w:val="24"/>
          <w:szCs w:val="24"/>
        </w:rPr>
        <w:t xml:space="preserve"> Monetary policy, price stability, Bank Indonesia (BI), global challenges, effectiveness, inflation, economic growth.</w:t>
      </w:r>
    </w:p>
    <w:p w14:paraId="00000011" w14:textId="77777777" w:rsidR="00C9609D" w:rsidRPr="00F64ECB" w:rsidRDefault="00C9609D" w:rsidP="00D632F4">
      <w:pPr>
        <w:ind w:firstLine="0"/>
        <w:jc w:val="left"/>
        <w:rPr>
          <w:rFonts w:eastAsia="Lustria"/>
          <w:sz w:val="24"/>
          <w:szCs w:val="24"/>
        </w:rPr>
      </w:pPr>
    </w:p>
    <w:p w14:paraId="00000012" w14:textId="77777777" w:rsidR="00C9609D" w:rsidRPr="00650312" w:rsidRDefault="00C9609D">
      <w:pPr>
        <w:ind w:firstLine="0"/>
        <w:rPr>
          <w:rFonts w:eastAsia="Lustria"/>
          <w:sz w:val="24"/>
          <w:szCs w:val="24"/>
        </w:rPr>
      </w:pPr>
    </w:p>
    <w:p w14:paraId="00000013" w14:textId="4CFE0B0A" w:rsidR="00C9609D" w:rsidRPr="00650312" w:rsidRDefault="0018276A" w:rsidP="00A07E67">
      <w:pPr>
        <w:pStyle w:val="Judul"/>
        <w:numPr>
          <w:ilvl w:val="0"/>
          <w:numId w:val="2"/>
        </w:numPr>
        <w:rPr>
          <w:rFonts w:eastAsia="Lustria"/>
          <w:sz w:val="24"/>
          <w:szCs w:val="24"/>
        </w:rPr>
      </w:pPr>
      <w:r w:rsidRPr="00650312">
        <w:rPr>
          <w:rFonts w:eastAsia="Lustria"/>
          <w:sz w:val="24"/>
          <w:szCs w:val="24"/>
        </w:rPr>
        <w:t>INTRODUCTION</w:t>
      </w:r>
      <w:r w:rsidR="00D533A7" w:rsidRPr="00650312">
        <w:rPr>
          <w:rFonts w:eastAsia="Lustria"/>
          <w:sz w:val="24"/>
          <w:szCs w:val="24"/>
        </w:rPr>
        <w:t xml:space="preserve"> </w:t>
      </w:r>
    </w:p>
    <w:p w14:paraId="2690A540" w14:textId="77777777" w:rsidR="00A07E67" w:rsidRPr="00650312" w:rsidRDefault="00A07E67" w:rsidP="00A07E67">
      <w:pPr>
        <w:rPr>
          <w:rFonts w:eastAsia="Lustria"/>
        </w:rPr>
      </w:pPr>
    </w:p>
    <w:p w14:paraId="6D1B32AE" w14:textId="2B90F115" w:rsidR="006D7A29" w:rsidRPr="00650312" w:rsidRDefault="006D7A29" w:rsidP="006D7A29">
      <w:pPr>
        <w:pBdr>
          <w:top w:val="nil"/>
          <w:left w:val="nil"/>
          <w:bottom w:val="nil"/>
          <w:right w:val="nil"/>
          <w:between w:val="nil"/>
        </w:pBdr>
        <w:ind w:left="284" w:firstLine="436"/>
        <w:jc w:val="both"/>
        <w:rPr>
          <w:rFonts w:eastAsia="Lustria"/>
          <w:sz w:val="24"/>
          <w:szCs w:val="24"/>
        </w:rPr>
      </w:pPr>
      <w:r w:rsidRPr="00650312">
        <w:rPr>
          <w:rFonts w:eastAsia="Lustria"/>
          <w:sz w:val="24"/>
          <w:szCs w:val="24"/>
        </w:rPr>
        <w:t>Price stability is an important pillar in achieving sustainable economic stability in Indonesia. Bank Indonesia (BI) has the mandate to maintain price stability through monetary policy. However, complex global dynamics, such as financial market volatility, commodity price fluctuations, and trade wars, require BI to formulate responsive and adaptive monetary policies.</w:t>
      </w:r>
    </w:p>
    <w:p w14:paraId="506228E5" w14:textId="727D796F" w:rsidR="006D7A29" w:rsidRPr="00650312" w:rsidRDefault="006D7A29" w:rsidP="006D7A29">
      <w:pPr>
        <w:pBdr>
          <w:top w:val="nil"/>
          <w:left w:val="nil"/>
          <w:bottom w:val="nil"/>
          <w:right w:val="nil"/>
          <w:between w:val="nil"/>
        </w:pBdr>
        <w:ind w:left="284" w:firstLine="436"/>
        <w:jc w:val="both"/>
        <w:rPr>
          <w:rFonts w:eastAsia="Lustria"/>
          <w:sz w:val="24"/>
          <w:szCs w:val="24"/>
        </w:rPr>
      </w:pPr>
      <w:r w:rsidRPr="00650312">
        <w:rPr>
          <w:rFonts w:eastAsia="Lustria"/>
          <w:sz w:val="24"/>
          <w:szCs w:val="24"/>
        </w:rPr>
        <w:t>This study analyzes the effectiveness of BI’s monetary policy in maintaining price stability amid global challenges. The objectives include: analyzing BI’s monetary policy instruments in response to commodity price fluctuations, geopolitical uncertainty, and domestic economic dynamics; evaluating the effectiveness of BI’s monetary policy instruments, such as benchmark interest rates, open market operations, and macroprudential policies, in achieving price stability objectives; and providing recommendations to improve the effectiveness of BI’s monetary policy in maintaining price stability in the future.</w:t>
      </w:r>
    </w:p>
    <w:p w14:paraId="60C7ACCF" w14:textId="73374CF9" w:rsidR="006D7A29" w:rsidRPr="00650312" w:rsidRDefault="006D7A29" w:rsidP="00BC47B4">
      <w:pPr>
        <w:pBdr>
          <w:top w:val="nil"/>
          <w:left w:val="nil"/>
          <w:bottom w:val="nil"/>
          <w:right w:val="nil"/>
          <w:between w:val="nil"/>
        </w:pBdr>
        <w:ind w:left="284" w:firstLine="436"/>
        <w:jc w:val="both"/>
        <w:rPr>
          <w:rFonts w:eastAsia="Lustria"/>
          <w:sz w:val="24"/>
          <w:szCs w:val="24"/>
        </w:rPr>
      </w:pPr>
      <w:r w:rsidRPr="00650312">
        <w:rPr>
          <w:rFonts w:eastAsia="Lustria"/>
          <w:sz w:val="24"/>
          <w:szCs w:val="24"/>
        </w:rPr>
        <w:t>This research is expected to provide a more comprehensive understanding of BI’s monetary policy in a global context, as well as provide BI with considerations for formulating more effective strategies.  The results can also provide input for stakeholders, such as the government and economic actors, in understanding the dynamics of monetary policy and its role in the Indonesian economy.</w:t>
      </w:r>
    </w:p>
    <w:p w14:paraId="0000001C" w14:textId="77777777" w:rsidR="00C9609D" w:rsidRPr="00650312" w:rsidRDefault="00C9609D" w:rsidP="000F1499">
      <w:pPr>
        <w:pBdr>
          <w:top w:val="nil"/>
          <w:left w:val="nil"/>
          <w:bottom w:val="nil"/>
          <w:right w:val="nil"/>
          <w:between w:val="nil"/>
        </w:pBdr>
        <w:ind w:firstLine="0"/>
        <w:jc w:val="both"/>
        <w:rPr>
          <w:rFonts w:eastAsia="Lustria"/>
          <w:sz w:val="24"/>
          <w:szCs w:val="24"/>
        </w:rPr>
      </w:pPr>
    </w:p>
    <w:p w14:paraId="02A72A09" w14:textId="77777777" w:rsidR="00CF17EE" w:rsidRDefault="00CF17EE" w:rsidP="000F1499">
      <w:pPr>
        <w:pBdr>
          <w:top w:val="nil"/>
          <w:left w:val="nil"/>
          <w:bottom w:val="nil"/>
          <w:right w:val="nil"/>
          <w:between w:val="nil"/>
        </w:pBdr>
        <w:spacing w:before="120"/>
        <w:ind w:firstLine="0"/>
        <w:jc w:val="both"/>
        <w:rPr>
          <w:rFonts w:eastAsia="Lustria"/>
          <w:b/>
          <w:bCs/>
          <w:sz w:val="24"/>
          <w:szCs w:val="24"/>
        </w:rPr>
      </w:pPr>
    </w:p>
    <w:p w14:paraId="00000021" w14:textId="3BDFF063" w:rsidR="00C9609D" w:rsidRPr="00CF17EE" w:rsidRDefault="000F1499" w:rsidP="00CF17EE">
      <w:pPr>
        <w:pStyle w:val="DaftarParagraf"/>
        <w:numPr>
          <w:ilvl w:val="0"/>
          <w:numId w:val="2"/>
        </w:numPr>
        <w:pBdr>
          <w:top w:val="nil"/>
          <w:left w:val="nil"/>
          <w:bottom w:val="nil"/>
          <w:right w:val="nil"/>
          <w:between w:val="nil"/>
        </w:pBdr>
        <w:spacing w:before="120"/>
        <w:jc w:val="both"/>
        <w:rPr>
          <w:rFonts w:eastAsia="Lustria"/>
          <w:b/>
          <w:color w:val="000000"/>
          <w:sz w:val="24"/>
          <w:szCs w:val="24"/>
        </w:rPr>
      </w:pPr>
      <w:r w:rsidRPr="00CF17EE">
        <w:rPr>
          <w:rFonts w:eastAsia="Lustria"/>
          <w:b/>
          <w:color w:val="000000"/>
          <w:sz w:val="24"/>
          <w:szCs w:val="24"/>
        </w:rPr>
        <w:lastRenderedPageBreak/>
        <w:t xml:space="preserve">METHOD </w:t>
      </w:r>
    </w:p>
    <w:p w14:paraId="59876FFC" w14:textId="77777777" w:rsidR="00CF17EE" w:rsidRPr="00CF17EE" w:rsidRDefault="00CF17EE" w:rsidP="00CF17EE">
      <w:pPr>
        <w:pStyle w:val="DaftarParagraf"/>
        <w:pBdr>
          <w:top w:val="nil"/>
          <w:left w:val="nil"/>
          <w:bottom w:val="nil"/>
          <w:right w:val="nil"/>
          <w:between w:val="nil"/>
        </w:pBdr>
        <w:spacing w:before="120"/>
        <w:ind w:firstLine="0"/>
        <w:jc w:val="both"/>
        <w:rPr>
          <w:rFonts w:eastAsia="Lustria"/>
          <w:b/>
          <w:color w:val="000000"/>
          <w:sz w:val="24"/>
          <w:szCs w:val="24"/>
        </w:rPr>
      </w:pPr>
    </w:p>
    <w:p w14:paraId="6E49A2AF" w14:textId="77777777" w:rsidR="0018276A" w:rsidRPr="00650312" w:rsidRDefault="0018276A" w:rsidP="0018276A">
      <w:pPr>
        <w:pBdr>
          <w:top w:val="nil"/>
          <w:left w:val="nil"/>
          <w:bottom w:val="nil"/>
          <w:right w:val="nil"/>
          <w:between w:val="nil"/>
        </w:pBdr>
        <w:spacing w:before="120"/>
        <w:ind w:firstLine="720"/>
        <w:jc w:val="both"/>
        <w:rPr>
          <w:rFonts w:eastAsia="Lustria"/>
          <w:color w:val="000000" w:themeColor="text1"/>
          <w:sz w:val="24"/>
          <w:szCs w:val="24"/>
        </w:rPr>
      </w:pPr>
      <w:r w:rsidRPr="00650312">
        <w:rPr>
          <w:rFonts w:eastAsia="Lustria"/>
          <w:color w:val="000000" w:themeColor="text1"/>
          <w:sz w:val="24"/>
          <w:szCs w:val="24"/>
        </w:rPr>
        <w:t xml:space="preserve">This research uses a descriptive qualitative approach by combining literature study and document analysis. Literature study is conducted to understand the concepts and theories underlying monetary policy, particularly the quantity theory of money, interest rate theory, and expectation theory. In addition, previous empirical research, such as Anggraeni &amp; Srihadi (2020), Hartawan (2019), and Juhro &amp; Iyke (2020), was reviewed to see the effect of monetary policy on price and economic stability in Indonesia. </w:t>
      </w:r>
    </w:p>
    <w:p w14:paraId="2D94D93C" w14:textId="02D63205" w:rsidR="00787EBC" w:rsidRPr="00650312" w:rsidRDefault="0018276A" w:rsidP="0018276A">
      <w:pPr>
        <w:pBdr>
          <w:top w:val="nil"/>
          <w:left w:val="nil"/>
          <w:bottom w:val="nil"/>
          <w:right w:val="nil"/>
          <w:between w:val="nil"/>
        </w:pBdr>
        <w:spacing w:before="120"/>
        <w:ind w:firstLine="720"/>
        <w:jc w:val="both"/>
        <w:rPr>
          <w:rFonts w:eastAsia="Lustria"/>
          <w:color w:val="000000" w:themeColor="text1"/>
          <w:sz w:val="24"/>
          <w:szCs w:val="24"/>
        </w:rPr>
      </w:pPr>
      <w:r w:rsidRPr="00650312">
        <w:rPr>
          <w:rFonts w:eastAsia="Lustria"/>
          <w:color w:val="000000" w:themeColor="text1"/>
          <w:sz w:val="24"/>
          <w:szCs w:val="24"/>
        </w:rPr>
        <w:t xml:space="preserve"> Document analysis was conducted by studying official Bank Indonesia (BI) documents relevant to monetary policy, including monetary policy reports, annual reports, and related publications.  The aim is to obtain up-to-date information on BI’s monetary policy and how BI responds to global challenges in maintaining price stability and the rupiah exchange rate.  The data collected will be analyzed descriptively qualitatively by identifying, classifying, and interpreting the information obtained from these sources.  By combining literature study and document analysis, this research aims to provide a comprehensive understanding of the effectiveness of Bank Indonesia’s monetary policy in maintaining price stability amid global challenges.</w:t>
      </w:r>
    </w:p>
    <w:p w14:paraId="00000022" w14:textId="77777777" w:rsidR="00C9609D" w:rsidRPr="00650312" w:rsidRDefault="00C9609D">
      <w:pPr>
        <w:pBdr>
          <w:top w:val="nil"/>
          <w:left w:val="nil"/>
          <w:bottom w:val="nil"/>
          <w:right w:val="nil"/>
          <w:between w:val="nil"/>
        </w:pBdr>
        <w:spacing w:before="120"/>
        <w:ind w:left="284" w:firstLine="436"/>
        <w:jc w:val="both"/>
        <w:rPr>
          <w:rFonts w:eastAsia="Lustria"/>
          <w:sz w:val="24"/>
          <w:szCs w:val="24"/>
        </w:rPr>
      </w:pPr>
    </w:p>
    <w:p w14:paraId="00000023" w14:textId="02DE4EF2" w:rsidR="00C9609D" w:rsidRPr="00650312" w:rsidRDefault="00352F51" w:rsidP="00352F51">
      <w:pPr>
        <w:pStyle w:val="Judul"/>
        <w:keepLines/>
        <w:numPr>
          <w:ilvl w:val="0"/>
          <w:numId w:val="4"/>
        </w:numPr>
        <w:jc w:val="left"/>
        <w:rPr>
          <w:rFonts w:eastAsia="Lustria"/>
          <w:sz w:val="24"/>
          <w:szCs w:val="24"/>
        </w:rPr>
      </w:pPr>
      <w:r w:rsidRPr="00650312">
        <w:rPr>
          <w:rFonts w:eastAsia="Lustria"/>
          <w:sz w:val="24"/>
          <w:szCs w:val="24"/>
        </w:rPr>
        <w:t>R</w:t>
      </w:r>
      <w:r w:rsidR="00070F11" w:rsidRPr="00650312">
        <w:rPr>
          <w:rFonts w:eastAsia="Lustria"/>
          <w:sz w:val="24"/>
          <w:szCs w:val="24"/>
        </w:rPr>
        <w:t>ESULTS AND DISCUSSION</w:t>
      </w:r>
    </w:p>
    <w:p w14:paraId="79A9A68A" w14:textId="77777777" w:rsidR="009F10C0" w:rsidRPr="00650312" w:rsidRDefault="009F10C0" w:rsidP="00352F51">
      <w:pPr>
        <w:ind w:left="360" w:firstLine="0"/>
        <w:jc w:val="both"/>
        <w:rPr>
          <w:rFonts w:eastAsia="Lustria"/>
        </w:rPr>
      </w:pPr>
    </w:p>
    <w:p w14:paraId="3B7F04A1" w14:textId="61E8FD3B" w:rsidR="00C905D4" w:rsidRPr="00650312" w:rsidRDefault="00921E55" w:rsidP="000C3C6A">
      <w:pPr>
        <w:ind w:firstLine="0"/>
        <w:jc w:val="left"/>
        <w:rPr>
          <w:rFonts w:eastAsia="Lustria"/>
          <w:b/>
          <w:bCs/>
          <w:sz w:val="24"/>
          <w:szCs w:val="24"/>
        </w:rPr>
      </w:pPr>
      <w:r w:rsidRPr="00650312">
        <w:rPr>
          <w:rFonts w:eastAsia="Lustria"/>
          <w:b/>
          <w:bCs/>
          <w:sz w:val="24"/>
          <w:szCs w:val="24"/>
        </w:rPr>
        <w:t>3.</w:t>
      </w:r>
      <w:r w:rsidR="00C905D4" w:rsidRPr="00650312">
        <w:rPr>
          <w:rFonts w:eastAsia="Lustria"/>
          <w:b/>
          <w:bCs/>
          <w:sz w:val="24"/>
          <w:szCs w:val="24"/>
        </w:rPr>
        <w:t xml:space="preserve">1 </w:t>
      </w:r>
      <w:r w:rsidR="00352F51" w:rsidRPr="00650312">
        <w:rPr>
          <w:rFonts w:eastAsia="Lustria"/>
          <w:b/>
          <w:bCs/>
          <w:sz w:val="24"/>
          <w:szCs w:val="24"/>
        </w:rPr>
        <w:t>The Strategic Role of BI's Monetary Policy in Indonesia's Macroeconomic Stability</w:t>
      </w:r>
    </w:p>
    <w:p w14:paraId="7CFEF2B5" w14:textId="77777777" w:rsidR="00602380" w:rsidRDefault="00602380" w:rsidP="00602380">
      <w:pPr>
        <w:jc w:val="left"/>
        <w:rPr>
          <w:rFonts w:eastAsia="Lustria"/>
          <w:sz w:val="24"/>
          <w:szCs w:val="24"/>
        </w:rPr>
      </w:pPr>
      <w:r>
        <w:rPr>
          <w:rFonts w:eastAsia="Lustria"/>
          <w:sz w:val="24"/>
          <w:szCs w:val="24"/>
        </w:rPr>
        <w:t>The analysis shows that Bank Indonesia’s (BI) monetary policy plays an important role in maintaining Indonesia’s macroeconomic stability. BI’s main focus is on maintaining price and exchange rate stability. BI managed to lower inflation and maintain exchange rate stability despite facing complex external and internal challenges. External challenges include fluctuations in global commodity prices, such as the spike in world oil prices that impacted domestic inflation, as well as geopolitical uncertainties that created market uncertainty (Bank Indonesia, 2024).</w:t>
      </w:r>
    </w:p>
    <w:p w14:paraId="3A7F33C1" w14:textId="475402DF" w:rsidR="00602380" w:rsidRDefault="00602380" w:rsidP="00602380">
      <w:pPr>
        <w:jc w:val="left"/>
        <w:rPr>
          <w:rFonts w:eastAsia="Lustria"/>
          <w:sz w:val="24"/>
          <w:szCs w:val="24"/>
        </w:rPr>
      </w:pPr>
      <w:r>
        <w:rPr>
          <w:rFonts w:eastAsia="Lustria"/>
          <w:sz w:val="24"/>
          <w:szCs w:val="24"/>
        </w:rPr>
        <w:t xml:space="preserve"> Internally, domestic economic dynamics such as changes in public consumption patterns and investment trends also affect economic performance. BI’s success in managing these challenges demonstrates its ability to formulate and implement effective and adaptive monetary policy, which is critical to balancing inflation control and promoting economic growth amidst unpredictable global changes (Puspita Riadina, 2024).</w:t>
      </w:r>
    </w:p>
    <w:p w14:paraId="0C67A941" w14:textId="0111B17E" w:rsidR="00602380" w:rsidRDefault="00602380" w:rsidP="00602380">
      <w:pPr>
        <w:jc w:val="left"/>
        <w:rPr>
          <w:rFonts w:eastAsia="Lustria"/>
          <w:sz w:val="24"/>
          <w:szCs w:val="24"/>
        </w:rPr>
      </w:pPr>
      <w:r>
        <w:rPr>
          <w:rFonts w:eastAsia="Lustria"/>
          <w:sz w:val="24"/>
          <w:szCs w:val="24"/>
        </w:rPr>
        <w:t>One example of BI’s success in dealing with global challenges is its ability to manage foreign capital flows.  In 2023, when there was a large capital outflow due to rising interest rates in the United States, BI managed to maintain rupiah exchange rate stability by intervening in the foreign exchange market and increasing foreign exchange reserves.  This step shows that BI has a structured and effective strategy in responding to external shocks that could destabilize Indonesia’s macroeconomy.</w:t>
      </w:r>
    </w:p>
    <w:p w14:paraId="7FD4C8C0" w14:textId="0D65F399" w:rsidR="00602380" w:rsidRPr="00650312" w:rsidRDefault="00602380" w:rsidP="001D67D4">
      <w:pPr>
        <w:jc w:val="left"/>
        <w:rPr>
          <w:rFonts w:eastAsia="Lustria"/>
          <w:sz w:val="24"/>
          <w:szCs w:val="24"/>
        </w:rPr>
      </w:pPr>
      <w:r>
        <w:rPr>
          <w:rFonts w:eastAsia="Lustria"/>
          <w:sz w:val="24"/>
          <w:szCs w:val="24"/>
        </w:rPr>
        <w:t>BI has also demonstrated its commitment to transparency and communication in setting monetary policy.  Through various forums and publications, BI openly explains the rationale behind its policies and how they are expected to affect the Indonesian economy.  This transparency helps boost market confidence and promote economic stability.  In addition, BI actively coordinates with the government and international institutions in setting monetary policy.  This coordination ensures that BI’s monetary policy is aligned with overall macroeconomic policy, thereby increasing its effectiveness in maintaining Indonesia’s macroeconomic stability.</w:t>
      </w:r>
    </w:p>
    <w:p w14:paraId="6C020D51" w14:textId="77777777" w:rsidR="00C905D4" w:rsidRPr="00650312" w:rsidRDefault="00C905D4" w:rsidP="001D67D4">
      <w:pPr>
        <w:jc w:val="left"/>
        <w:rPr>
          <w:rFonts w:eastAsia="Lustria"/>
          <w:sz w:val="24"/>
          <w:szCs w:val="24"/>
        </w:rPr>
      </w:pPr>
    </w:p>
    <w:p w14:paraId="71935428" w14:textId="77777777" w:rsidR="00EB03BF" w:rsidRDefault="00EB03BF" w:rsidP="00825D8C">
      <w:pPr>
        <w:ind w:firstLine="0"/>
        <w:jc w:val="both"/>
        <w:rPr>
          <w:rFonts w:eastAsia="Lustria"/>
          <w:b/>
          <w:bCs/>
          <w:sz w:val="24"/>
          <w:szCs w:val="24"/>
        </w:rPr>
      </w:pPr>
    </w:p>
    <w:p w14:paraId="5C412869" w14:textId="77777777" w:rsidR="00EB03BF" w:rsidRDefault="00EB03BF" w:rsidP="00825D8C">
      <w:pPr>
        <w:ind w:firstLine="0"/>
        <w:jc w:val="both"/>
        <w:rPr>
          <w:rFonts w:eastAsia="Lustria"/>
          <w:b/>
          <w:bCs/>
          <w:sz w:val="24"/>
          <w:szCs w:val="24"/>
        </w:rPr>
      </w:pPr>
    </w:p>
    <w:p w14:paraId="165FE755" w14:textId="77777777" w:rsidR="00EB03BF" w:rsidRDefault="00EB03BF" w:rsidP="00825D8C">
      <w:pPr>
        <w:ind w:firstLine="0"/>
        <w:jc w:val="both"/>
        <w:rPr>
          <w:rFonts w:eastAsia="Lustria"/>
          <w:b/>
          <w:bCs/>
          <w:sz w:val="24"/>
          <w:szCs w:val="24"/>
        </w:rPr>
      </w:pPr>
    </w:p>
    <w:p w14:paraId="25C5CB9F" w14:textId="4AB82B3F" w:rsidR="00C905D4" w:rsidRPr="00650312" w:rsidRDefault="00921E55" w:rsidP="00825D8C">
      <w:pPr>
        <w:ind w:firstLine="0"/>
        <w:jc w:val="both"/>
        <w:rPr>
          <w:rFonts w:eastAsia="Lustria"/>
          <w:b/>
          <w:bCs/>
          <w:sz w:val="24"/>
          <w:szCs w:val="24"/>
        </w:rPr>
      </w:pPr>
      <w:r w:rsidRPr="00650312">
        <w:rPr>
          <w:rFonts w:eastAsia="Lustria"/>
          <w:b/>
          <w:bCs/>
          <w:sz w:val="24"/>
          <w:szCs w:val="24"/>
        </w:rPr>
        <w:lastRenderedPageBreak/>
        <w:t>3.</w:t>
      </w:r>
      <w:r w:rsidR="00825D8C" w:rsidRPr="00650312">
        <w:rPr>
          <w:rFonts w:eastAsia="Lustria"/>
          <w:b/>
          <w:bCs/>
          <w:sz w:val="24"/>
          <w:szCs w:val="24"/>
        </w:rPr>
        <w:t>2</w:t>
      </w:r>
      <w:r w:rsidR="008A59D0" w:rsidRPr="00650312">
        <w:rPr>
          <w:rFonts w:eastAsia="Lustria"/>
          <w:b/>
          <w:bCs/>
          <w:sz w:val="24"/>
          <w:szCs w:val="24"/>
        </w:rPr>
        <w:t xml:space="preserve"> Effectiveness of BI Monetary Policy Instruments and Strategies</w:t>
      </w:r>
    </w:p>
    <w:p w14:paraId="221C9C5C" w14:textId="77777777" w:rsidR="009C1643" w:rsidRPr="00650312" w:rsidRDefault="009C1643" w:rsidP="009C1643">
      <w:pPr>
        <w:ind w:left="360" w:firstLine="0"/>
        <w:jc w:val="left"/>
        <w:rPr>
          <w:rFonts w:eastAsia="Lustria"/>
          <w:b/>
          <w:bCs/>
          <w:sz w:val="24"/>
          <w:szCs w:val="24"/>
        </w:rPr>
      </w:pPr>
    </w:p>
    <w:p w14:paraId="4851BEA0" w14:textId="77777777" w:rsidR="008A4841" w:rsidRDefault="00411AF3" w:rsidP="00411AF3">
      <w:pPr>
        <w:jc w:val="left"/>
        <w:rPr>
          <w:rFonts w:eastAsia="Lustria"/>
          <w:sz w:val="24"/>
          <w:szCs w:val="24"/>
        </w:rPr>
      </w:pPr>
      <w:r>
        <w:rPr>
          <w:rFonts w:eastAsia="Lustria"/>
          <w:sz w:val="24"/>
          <w:szCs w:val="24"/>
        </w:rPr>
        <w:t xml:space="preserve">The effectiveness of BI’s monetary policy relies heavily on the use of appropriate instruments. The BI Rate, as the benchmark interest rate, serves to control inflation and influence economic growth. An increase in the BI Rate aims to reduce the money supply and lower purchasing power, but if it is too aggressive it may slow down economic growth (Bank Indonesia, 2024). Conversely, a decrease in the BI Rate can encourage investment and consumption, but risks triggering inflation if not balanced with other inflation controls. </w:t>
      </w:r>
    </w:p>
    <w:p w14:paraId="0F872DA9" w14:textId="37C2D427" w:rsidR="00411AF3" w:rsidRDefault="00411AF3" w:rsidP="00411AF3">
      <w:pPr>
        <w:jc w:val="left"/>
        <w:rPr>
          <w:rFonts w:eastAsia="Lustria"/>
          <w:sz w:val="24"/>
          <w:szCs w:val="24"/>
        </w:rPr>
      </w:pPr>
      <w:r>
        <w:rPr>
          <w:rFonts w:eastAsia="Lustria"/>
          <w:sz w:val="24"/>
          <w:szCs w:val="24"/>
        </w:rPr>
        <w:t>Open market operations through the purchase or sale of Government Securities (SBN) also play an important role in regulating liquidity and interest rates (H. Li et al., 2021). Adequate foreign exchange reserves are an important buffer in maintaining the stability of the rupiah exchange rate, so that BI can intervene in the foreign exchange market if necessary (Agung &amp; Harun, 2021). All these instruments are interrelated and used synergistically to achieve the goal of macroeconomic stability.</w:t>
      </w:r>
    </w:p>
    <w:p w14:paraId="2FD2E1F1" w14:textId="3E6A2B4B" w:rsidR="00411AF3" w:rsidRDefault="00411AF3" w:rsidP="00411AF3">
      <w:pPr>
        <w:jc w:val="left"/>
        <w:rPr>
          <w:rFonts w:eastAsia="Lustria"/>
          <w:sz w:val="24"/>
          <w:szCs w:val="24"/>
        </w:rPr>
      </w:pPr>
      <w:r>
        <w:rPr>
          <w:rFonts w:eastAsia="Lustria"/>
          <w:sz w:val="24"/>
          <w:szCs w:val="24"/>
        </w:rPr>
        <w:t>In addition to the aforementioned instruments, BI also utilizes macroprudential policies in order to maintain financial system stability.  These policies include various measures to regulate risks in the banking sector, such as capital requirements, loan-to-deposit ratios, and credit limits for certain sectors.  Macroprudential policies aim to prevent excessive risk accumulation in the financial sector and protect the financial system from shocks.  By integrating macroprudential policy with monetary policy, BI can be more effective in maintaining financial system stability and supporting sustainable economic growth.</w:t>
      </w:r>
    </w:p>
    <w:p w14:paraId="483298D1" w14:textId="6EA891EA" w:rsidR="00411AF3" w:rsidRPr="00650312" w:rsidRDefault="00411AF3" w:rsidP="001D67D4">
      <w:pPr>
        <w:jc w:val="left"/>
        <w:rPr>
          <w:rFonts w:eastAsia="Lustria"/>
          <w:sz w:val="24"/>
          <w:szCs w:val="24"/>
        </w:rPr>
      </w:pPr>
      <w:r>
        <w:rPr>
          <w:rFonts w:eastAsia="Lustria"/>
          <w:sz w:val="24"/>
          <w:szCs w:val="24"/>
        </w:rPr>
        <w:t>BI’s success in managing its various monetary policy instruments is also influenced by the quality of information and data used.  BI has a strong data infrastructure and a comprehensive economic monitoring system.  This information enables BI to make appropriate and timely decisions in responding to economic changes both at home and abroad.  BI’s ability to analyze data and formulate accurate economic forecasts is an important factor in maintaining Indonesia’s macroeconomic stability.</w:t>
      </w:r>
    </w:p>
    <w:p w14:paraId="0AC0BF1B" w14:textId="77777777" w:rsidR="00C905D4" w:rsidRPr="00650312" w:rsidRDefault="00C905D4" w:rsidP="001D67D4">
      <w:pPr>
        <w:jc w:val="left"/>
        <w:rPr>
          <w:rFonts w:eastAsia="Lustria"/>
          <w:sz w:val="24"/>
          <w:szCs w:val="24"/>
        </w:rPr>
      </w:pPr>
    </w:p>
    <w:p w14:paraId="4AEA294E" w14:textId="77777777" w:rsidR="00467A12" w:rsidRPr="00650312" w:rsidRDefault="00467A12" w:rsidP="00825D8C">
      <w:pPr>
        <w:ind w:firstLine="0"/>
        <w:jc w:val="left"/>
        <w:rPr>
          <w:rFonts w:eastAsia="Lustria"/>
          <w:b/>
          <w:bCs/>
          <w:sz w:val="24"/>
          <w:szCs w:val="24"/>
        </w:rPr>
      </w:pPr>
    </w:p>
    <w:p w14:paraId="0B7506D3" w14:textId="77777777" w:rsidR="00CF17EE" w:rsidRDefault="00CF17EE" w:rsidP="00825D8C">
      <w:pPr>
        <w:ind w:firstLine="0"/>
        <w:jc w:val="left"/>
        <w:rPr>
          <w:rFonts w:eastAsia="Lustria"/>
          <w:b/>
          <w:bCs/>
          <w:sz w:val="24"/>
          <w:szCs w:val="24"/>
        </w:rPr>
      </w:pPr>
    </w:p>
    <w:p w14:paraId="1F7034B8" w14:textId="4BC6248D" w:rsidR="00C905D4" w:rsidRPr="00650312" w:rsidRDefault="00921E55" w:rsidP="00825D8C">
      <w:pPr>
        <w:ind w:firstLine="0"/>
        <w:jc w:val="left"/>
        <w:rPr>
          <w:rFonts w:eastAsia="Lustria"/>
          <w:sz w:val="24"/>
          <w:szCs w:val="24"/>
        </w:rPr>
      </w:pPr>
      <w:r w:rsidRPr="00650312">
        <w:rPr>
          <w:rFonts w:eastAsia="Lustria"/>
          <w:b/>
          <w:bCs/>
          <w:sz w:val="24"/>
          <w:szCs w:val="24"/>
        </w:rPr>
        <w:t>3.</w:t>
      </w:r>
      <w:r w:rsidR="00C905D4" w:rsidRPr="00650312">
        <w:rPr>
          <w:rFonts w:eastAsia="Lustria"/>
          <w:b/>
          <w:bCs/>
          <w:sz w:val="24"/>
          <w:szCs w:val="24"/>
        </w:rPr>
        <w:t xml:space="preserve">3 </w:t>
      </w:r>
      <w:r w:rsidR="00FC2727" w:rsidRPr="00650312">
        <w:rPr>
          <w:rFonts w:eastAsia="Lustria"/>
          <w:b/>
          <w:bCs/>
          <w:sz w:val="24"/>
          <w:szCs w:val="24"/>
        </w:rPr>
        <w:t>Challenges, Strategy Adjustments, and Results of BI's Monetary Policy</w:t>
      </w:r>
    </w:p>
    <w:p w14:paraId="2EA33C61" w14:textId="77777777" w:rsidR="00C905D4" w:rsidRPr="00650312" w:rsidRDefault="00C905D4" w:rsidP="001D67D4">
      <w:pPr>
        <w:jc w:val="left"/>
        <w:rPr>
          <w:rFonts w:eastAsia="Lustria"/>
          <w:sz w:val="24"/>
          <w:szCs w:val="24"/>
        </w:rPr>
      </w:pPr>
    </w:p>
    <w:p w14:paraId="674FC803" w14:textId="77777777" w:rsidR="00CB541D" w:rsidRDefault="001069C4" w:rsidP="00CB541D">
      <w:pPr>
        <w:jc w:val="left"/>
        <w:rPr>
          <w:rFonts w:eastAsia="Lustria"/>
          <w:sz w:val="24"/>
          <w:szCs w:val="24"/>
        </w:rPr>
      </w:pPr>
      <w:r>
        <w:rPr>
          <w:rFonts w:eastAsia="Lustria"/>
          <w:sz w:val="24"/>
          <w:szCs w:val="24"/>
        </w:rPr>
        <w:t xml:space="preserve">Despite its success, BI’s monetary policy continues to face complex challenges such as global commodity price fluctuations and geopolitical uncertainty. BI must be able to predict the impact on the Indonesian economy and adjust its policy strategy accordingly (Nur Aini Latifah, 2015). Domestic economic dynamics such as economic growth and consumption also require careful consideration. BI’s strategy in dealing with these challenges includes intensive inflation monitoring, active and adaptive monetary policy, and close coordination with the government (Ranteallo et al., 2024). </w:t>
      </w:r>
    </w:p>
    <w:p w14:paraId="28A22577" w14:textId="7DB0162D" w:rsidR="001069C4" w:rsidRDefault="001069C4" w:rsidP="00CB541D">
      <w:pPr>
        <w:jc w:val="left"/>
        <w:rPr>
          <w:rFonts w:eastAsia="Lustria"/>
          <w:sz w:val="24"/>
          <w:szCs w:val="24"/>
        </w:rPr>
      </w:pPr>
      <w:r>
        <w:rPr>
          <w:rFonts w:eastAsia="Lustria"/>
          <w:sz w:val="24"/>
          <w:szCs w:val="24"/>
        </w:rPr>
        <w:t>The results are visible in manageable inflation within the target range of 3-4% per year, rupiah exchange rate stability, and increased investor confidence. However, maintaining economic stability is an ongoing process that requires continuous adaptation of strategies to meet changing challenges (Fauzi et al., n.d.).</w:t>
      </w:r>
    </w:p>
    <w:p w14:paraId="37FAC4CD" w14:textId="355B15BF" w:rsidR="001069C4" w:rsidRDefault="001069C4" w:rsidP="001069C4">
      <w:pPr>
        <w:jc w:val="left"/>
        <w:rPr>
          <w:rFonts w:eastAsia="Lustria"/>
          <w:sz w:val="24"/>
          <w:szCs w:val="24"/>
        </w:rPr>
      </w:pPr>
      <w:r>
        <w:rPr>
          <w:rFonts w:eastAsia="Lustria"/>
          <w:sz w:val="24"/>
          <w:szCs w:val="24"/>
        </w:rPr>
        <w:t>One of the new challenges facing BI is the digitalization of the economy.  The development of financial technology (fintech) and digital transactions may lead to changes in people’s behavior and economic structure.  BI needs to develop an appropriate policy framework to manage risks and capitalize on opportunities arising from economic digitalization.  This includes ensuring a safe and efficient digital payment system, as well as regulating the development of fintech so as not to disrupt financial system stability.</w:t>
      </w:r>
    </w:p>
    <w:p w14:paraId="2A5CC890" w14:textId="5472FFD5" w:rsidR="001069C4" w:rsidRPr="00650312" w:rsidRDefault="001069C4" w:rsidP="00E26A3C">
      <w:pPr>
        <w:jc w:val="left"/>
        <w:rPr>
          <w:rFonts w:eastAsia="Lustria"/>
          <w:sz w:val="24"/>
          <w:szCs w:val="24"/>
        </w:rPr>
      </w:pPr>
      <w:r>
        <w:rPr>
          <w:rFonts w:eastAsia="Lustria"/>
          <w:sz w:val="24"/>
          <w:szCs w:val="24"/>
        </w:rPr>
        <w:t xml:space="preserve">While BI has demonstrated success in maintaining Indonesia’s macroeconomic stability, its roles and responsibilities are increasingly complex in the future.  Climate change, global pandemics, and digital transformation are factors that will continue to shape the global </w:t>
      </w:r>
      <w:r>
        <w:rPr>
          <w:rFonts w:eastAsia="Lustria"/>
          <w:sz w:val="24"/>
          <w:szCs w:val="24"/>
        </w:rPr>
        <w:lastRenderedPageBreak/>
        <w:t>and domestic economic landscape.  BI must continue to adapt and innovate to ensure that its monetary policy remains effective in maintaining Indonesia’s economic stability amidst dynamic changes.</w:t>
      </w:r>
    </w:p>
    <w:p w14:paraId="0904E53A" w14:textId="7BC3C751" w:rsidR="00E26A3C" w:rsidRPr="00650312" w:rsidRDefault="00E26A3C" w:rsidP="00154F4D">
      <w:pPr>
        <w:ind w:firstLine="0"/>
        <w:jc w:val="left"/>
        <w:rPr>
          <w:rFonts w:eastAsia="Lustria"/>
          <w:sz w:val="24"/>
          <w:szCs w:val="24"/>
        </w:rPr>
      </w:pPr>
    </w:p>
    <w:p w14:paraId="20C26351" w14:textId="0E69DC53" w:rsidR="00154F4D" w:rsidRPr="00650312" w:rsidRDefault="00921E55" w:rsidP="00154F4D">
      <w:pPr>
        <w:ind w:firstLine="0"/>
        <w:jc w:val="left"/>
        <w:rPr>
          <w:rFonts w:eastAsia="Lustria"/>
          <w:b/>
          <w:bCs/>
          <w:sz w:val="24"/>
          <w:szCs w:val="24"/>
        </w:rPr>
      </w:pPr>
      <w:r w:rsidRPr="00650312">
        <w:rPr>
          <w:rFonts w:eastAsia="Lustria"/>
          <w:b/>
          <w:bCs/>
          <w:sz w:val="24"/>
          <w:szCs w:val="24"/>
        </w:rPr>
        <w:t>3.</w:t>
      </w:r>
      <w:r w:rsidR="00154F4D" w:rsidRPr="00650312">
        <w:rPr>
          <w:rFonts w:eastAsia="Lustria"/>
          <w:b/>
          <w:bCs/>
          <w:sz w:val="24"/>
          <w:szCs w:val="24"/>
        </w:rPr>
        <w:t>4</w:t>
      </w:r>
      <w:r w:rsidR="001E09AC" w:rsidRPr="00650312">
        <w:rPr>
          <w:rFonts w:eastAsia="Lustria"/>
          <w:b/>
          <w:bCs/>
          <w:sz w:val="24"/>
          <w:szCs w:val="24"/>
        </w:rPr>
        <w:t xml:space="preserve"> </w:t>
      </w:r>
      <w:r w:rsidR="00FC2727" w:rsidRPr="00650312">
        <w:rPr>
          <w:rFonts w:eastAsia="Lustria"/>
          <w:b/>
          <w:bCs/>
          <w:sz w:val="24"/>
          <w:szCs w:val="24"/>
        </w:rPr>
        <w:t>Recommendations for Improving the Effectiveness of Bank Indonesia's Monetary Policy</w:t>
      </w:r>
    </w:p>
    <w:p w14:paraId="72EB1353" w14:textId="77777777" w:rsidR="001E09AC" w:rsidRPr="00650312" w:rsidRDefault="001E09AC" w:rsidP="00154F4D">
      <w:pPr>
        <w:ind w:firstLine="0"/>
        <w:jc w:val="left"/>
        <w:rPr>
          <w:rFonts w:eastAsia="Lustria"/>
          <w:b/>
          <w:bCs/>
          <w:sz w:val="24"/>
          <w:szCs w:val="24"/>
        </w:rPr>
      </w:pPr>
    </w:p>
    <w:p w14:paraId="206ABBEA" w14:textId="60649D69" w:rsidR="00944E15" w:rsidRPr="00650312" w:rsidRDefault="00944E15" w:rsidP="00944E15">
      <w:pPr>
        <w:jc w:val="left"/>
        <w:rPr>
          <w:rFonts w:eastAsia="Lustria"/>
          <w:sz w:val="24"/>
          <w:szCs w:val="24"/>
        </w:rPr>
      </w:pPr>
      <w:r w:rsidRPr="00650312">
        <w:rPr>
          <w:rFonts w:eastAsia="Lustria"/>
          <w:sz w:val="24"/>
          <w:szCs w:val="24"/>
        </w:rPr>
        <w:t>To improve the effectiveness of monetary policy in maintaining Indonesia’s macroeconomic stability, Bank Indonesia (BI) needs to adopt an approach that is more adaptive and responsive to evolving global challenges. First, BI should strengthen its inflation surveillance by utilizing data analysis technology to predict price changes more accurately, so as to make timely monetary decisions (Bank Indonesia, 2024).</w:t>
      </w:r>
    </w:p>
    <w:p w14:paraId="587301F3" w14:textId="6ADDF749" w:rsidR="00944E15" w:rsidRPr="00650312" w:rsidRDefault="00944E15" w:rsidP="00944E15">
      <w:pPr>
        <w:jc w:val="left"/>
        <w:rPr>
          <w:rFonts w:eastAsia="Lustria"/>
          <w:sz w:val="24"/>
          <w:szCs w:val="24"/>
        </w:rPr>
      </w:pPr>
      <w:r w:rsidRPr="00650312">
        <w:rPr>
          <w:rFonts w:eastAsia="Lustria"/>
          <w:sz w:val="24"/>
          <w:szCs w:val="24"/>
        </w:rPr>
        <w:t>Interest rate adjustments should be made by considering the long-term impact on economic growth; BI should avoid overly aggressive interest rate changes that could slow investment and consumption (H. Li et al., 2021). Third, the management of foreign exchange reserves should be improved to provide room for intervention in the foreign exchange market, in order to maintain rupiah exchange rate stability amid global market turmoil (Agung &amp; Harun, 2021).</w:t>
      </w:r>
    </w:p>
    <w:p w14:paraId="4F1EA948" w14:textId="77777777" w:rsidR="00944E15" w:rsidRPr="00650312" w:rsidRDefault="00944E15">
      <w:pPr>
        <w:jc w:val="left"/>
        <w:rPr>
          <w:rFonts w:eastAsia="Lustria"/>
          <w:sz w:val="24"/>
          <w:szCs w:val="24"/>
        </w:rPr>
      </w:pPr>
      <w:r w:rsidRPr="00650312">
        <w:rPr>
          <w:rFonts w:eastAsia="Lustria"/>
          <w:sz w:val="24"/>
          <w:szCs w:val="24"/>
        </w:rPr>
        <w:t>In addition, close coordination between monetary and fiscal policies is essential to create synergy in facing economic challenges, including commodity price fluctuations and geopolitical uncertainty (Nur Aini Latifah, 2015). Finally, the development of an efficient payment system needs to be prioritized to reduce transaction costs and increase financial inclusion, thereby supporting sustainable economic growth. By implementing these recommendations, BI is expected to be more effective in achieving its economic stability objectives and facing future global challenges (Fauzi et al., n.d.).</w:t>
      </w:r>
    </w:p>
    <w:p w14:paraId="16DB12E4" w14:textId="77777777" w:rsidR="00073BD2" w:rsidRPr="00650312" w:rsidRDefault="00073BD2">
      <w:pPr>
        <w:jc w:val="left"/>
        <w:rPr>
          <w:rFonts w:eastAsia="Lustria"/>
          <w:sz w:val="24"/>
          <w:szCs w:val="24"/>
        </w:rPr>
      </w:pPr>
    </w:p>
    <w:p w14:paraId="00000039" w14:textId="7E388718" w:rsidR="00C9609D" w:rsidRPr="00650312" w:rsidRDefault="00874A6F">
      <w:pPr>
        <w:pStyle w:val="Judul"/>
        <w:rPr>
          <w:rFonts w:eastAsia="Lustria"/>
          <w:sz w:val="24"/>
          <w:szCs w:val="24"/>
        </w:rPr>
      </w:pPr>
      <w:r w:rsidRPr="00650312">
        <w:rPr>
          <w:rFonts w:eastAsia="Lustria"/>
          <w:sz w:val="24"/>
          <w:szCs w:val="24"/>
        </w:rPr>
        <w:t>4</w:t>
      </w:r>
      <w:r w:rsidR="00D533A7" w:rsidRPr="00650312">
        <w:rPr>
          <w:rFonts w:eastAsia="Lustria"/>
          <w:sz w:val="24"/>
          <w:szCs w:val="24"/>
        </w:rPr>
        <w:t xml:space="preserve">. </w:t>
      </w:r>
      <w:r w:rsidR="00944E15" w:rsidRPr="00650312">
        <w:rPr>
          <w:rFonts w:eastAsia="Lustria"/>
          <w:sz w:val="24"/>
          <w:szCs w:val="24"/>
        </w:rPr>
        <w:t>CONCLUSION</w:t>
      </w:r>
    </w:p>
    <w:p w14:paraId="46F8B74E" w14:textId="30B5F812" w:rsidR="000B035B" w:rsidRPr="00650312" w:rsidRDefault="00D533A7" w:rsidP="000B035B">
      <w:pPr>
        <w:spacing w:before="240" w:after="240"/>
        <w:ind w:left="283" w:firstLine="566"/>
        <w:jc w:val="both"/>
        <w:rPr>
          <w:rFonts w:eastAsia="Lustria"/>
          <w:sz w:val="24"/>
          <w:szCs w:val="24"/>
        </w:rPr>
      </w:pPr>
      <w:r w:rsidRPr="00650312">
        <w:rPr>
          <w:rFonts w:eastAsia="Lustria"/>
          <w:sz w:val="24"/>
          <w:szCs w:val="24"/>
        </w:rPr>
        <w:tab/>
      </w:r>
      <w:r w:rsidR="000B035B" w:rsidRPr="00650312">
        <w:rPr>
          <w:rFonts w:eastAsia="Lustria"/>
          <w:sz w:val="24"/>
          <w:szCs w:val="24"/>
        </w:rPr>
        <w:t>Bank Indonesia (BI) has successfully maintained Indonesia’s economic stability through effective monetary policy. Through the use of instruments such as the benchmark interest rate, open market operations, and management of foreign exchange reserves, BI has been able to reduce inflation, maintain rupiah exchange rate stability, and support economic growth. Nonetheless, challenges from global economic conditions and international financial market turmoil continue to affect the effectiveness of monetary policy. Therefore, it is important for BI to continue coordinating with fiscal policy and structural reforms to achieve sustainable economic stability.</w:t>
      </w:r>
    </w:p>
    <w:p w14:paraId="4E9D13EF" w14:textId="1CCE483C" w:rsidR="000B035B" w:rsidRPr="00650312" w:rsidRDefault="000B035B">
      <w:pPr>
        <w:spacing w:before="240" w:after="240"/>
        <w:ind w:left="283" w:firstLine="566"/>
        <w:jc w:val="both"/>
        <w:rPr>
          <w:rFonts w:eastAsia="Lustria"/>
          <w:sz w:val="24"/>
          <w:szCs w:val="24"/>
        </w:rPr>
      </w:pPr>
      <w:r w:rsidRPr="00650312">
        <w:rPr>
          <w:rFonts w:eastAsia="Lustria"/>
          <w:sz w:val="24"/>
          <w:szCs w:val="24"/>
        </w:rPr>
        <w:t xml:space="preserve"> Close coordination between monetary, fiscal, and structural reform authorities is key to creating a conducive environment for economic stability and sustainable growth in Indonesia. This research is expected to provide deeper insights into BI’s monetary policy and its contribution to the national economy, as well as provide recommendations for stakeholders in formulating more effective policies in the future.</w:t>
      </w:r>
    </w:p>
    <w:p w14:paraId="0000003C" w14:textId="7B12A78A" w:rsidR="00C9609D" w:rsidRPr="00650312" w:rsidRDefault="00C9609D">
      <w:pPr>
        <w:ind w:firstLine="0"/>
        <w:jc w:val="both"/>
        <w:rPr>
          <w:rFonts w:eastAsia="Lustria"/>
          <w:color w:val="2E2F30"/>
          <w:sz w:val="24"/>
          <w:szCs w:val="24"/>
          <w:highlight w:val="white"/>
        </w:rPr>
      </w:pPr>
    </w:p>
    <w:p w14:paraId="0000003D" w14:textId="2D31F494" w:rsidR="00C9609D" w:rsidRPr="00650312" w:rsidRDefault="00874A6F" w:rsidP="00874A6F">
      <w:pPr>
        <w:ind w:firstLine="0"/>
        <w:jc w:val="left"/>
        <w:rPr>
          <w:rFonts w:eastAsia="Lustria"/>
          <w:b/>
          <w:sz w:val="24"/>
          <w:szCs w:val="24"/>
        </w:rPr>
      </w:pPr>
      <w:r w:rsidRPr="00650312">
        <w:rPr>
          <w:rFonts w:eastAsia="Lustria"/>
          <w:b/>
          <w:sz w:val="24"/>
          <w:szCs w:val="24"/>
        </w:rPr>
        <w:t xml:space="preserve"> </w:t>
      </w:r>
      <w:r w:rsidR="008404C8" w:rsidRPr="00650312">
        <w:rPr>
          <w:rFonts w:eastAsia="Lustria"/>
          <w:b/>
          <w:sz w:val="24"/>
          <w:szCs w:val="24"/>
        </w:rPr>
        <w:t>5</w:t>
      </w:r>
      <w:r w:rsidRPr="00650312">
        <w:rPr>
          <w:rFonts w:eastAsia="Lustria"/>
          <w:b/>
          <w:sz w:val="24"/>
          <w:szCs w:val="24"/>
        </w:rPr>
        <w:t>.</w:t>
      </w:r>
      <w:r w:rsidR="008404C8" w:rsidRPr="00650312">
        <w:rPr>
          <w:rFonts w:eastAsia="Lustria"/>
          <w:b/>
          <w:sz w:val="24"/>
          <w:szCs w:val="24"/>
        </w:rPr>
        <w:t xml:space="preserve"> </w:t>
      </w:r>
      <w:r w:rsidR="00377FA1" w:rsidRPr="00650312">
        <w:rPr>
          <w:rFonts w:eastAsia="Lustria"/>
          <w:b/>
          <w:sz w:val="24"/>
          <w:szCs w:val="24"/>
        </w:rPr>
        <w:t>REFERENCES</w:t>
      </w:r>
      <w:r w:rsidR="000B035B" w:rsidRPr="00650312">
        <w:rPr>
          <w:rFonts w:eastAsia="Lustria"/>
          <w:b/>
          <w:sz w:val="24"/>
          <w:szCs w:val="24"/>
        </w:rPr>
        <w:t xml:space="preserve">  </w:t>
      </w:r>
    </w:p>
    <w:p w14:paraId="093E4FA2"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Agung, A., &amp; Harun, H. (2021). Pengaruh Kebijakan Moneter terhadap Stabilitas Ekonomi di Indonesia. </w:t>
      </w:r>
      <w:r w:rsidRPr="00650312">
        <w:rPr>
          <w:rFonts w:eastAsia="Lustria"/>
          <w:i/>
          <w:iCs/>
          <w:sz w:val="24"/>
          <w:szCs w:val="24"/>
        </w:rPr>
        <w:t>Jurnal Ekonomi dan Kebijakan Publik</w:t>
      </w:r>
      <w:r w:rsidRPr="00650312">
        <w:rPr>
          <w:rFonts w:eastAsia="Lustria"/>
          <w:sz w:val="24"/>
          <w:szCs w:val="24"/>
        </w:rPr>
        <w:t>, 8(7), 519-530.</w:t>
      </w:r>
    </w:p>
    <w:p w14:paraId="36819EDE"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Anggraeni, R., &amp; Srihadi, S. (2020). Dampak Kebijakan Moneter terhadap Stabilitas Harga di Indonesia. </w:t>
      </w:r>
      <w:r w:rsidRPr="00650312">
        <w:rPr>
          <w:rFonts w:eastAsia="Lustria"/>
          <w:i/>
          <w:iCs/>
          <w:sz w:val="24"/>
          <w:szCs w:val="24"/>
        </w:rPr>
        <w:t>Jurnal Ekonomi dan Bisnis</w:t>
      </w:r>
      <w:r w:rsidRPr="00650312">
        <w:rPr>
          <w:rFonts w:eastAsia="Lustria"/>
          <w:sz w:val="24"/>
          <w:szCs w:val="24"/>
        </w:rPr>
        <w:t>, 12(1), 45-60.</w:t>
      </w:r>
    </w:p>
    <w:p w14:paraId="25B87A26" w14:textId="431317BF" w:rsidR="007F65DA" w:rsidRPr="00650312" w:rsidRDefault="007F65DA">
      <w:pPr>
        <w:spacing w:before="240" w:after="240"/>
        <w:ind w:left="566" w:hanging="566"/>
        <w:jc w:val="both"/>
        <w:rPr>
          <w:rFonts w:eastAsia="Lustria"/>
          <w:sz w:val="24"/>
          <w:szCs w:val="24"/>
        </w:rPr>
      </w:pPr>
      <w:r w:rsidRPr="00650312">
        <w:rPr>
          <w:rFonts w:eastAsia="Lustria"/>
          <w:sz w:val="24"/>
          <w:szCs w:val="24"/>
        </w:rPr>
        <w:t>Bank Indonesia. (2024). Tinjauan Kebijakan Moneter November 2024.</w:t>
      </w:r>
    </w:p>
    <w:p w14:paraId="3132D2EE"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lastRenderedPageBreak/>
        <w:t xml:space="preserve">Fauzi, A., et al. (n.d.). Analisis Pengaruh Kebijakan Moneter terhadap Stabilitas Harga di Indonesia. </w:t>
      </w:r>
      <w:r w:rsidRPr="00650312">
        <w:rPr>
          <w:rFonts w:eastAsia="Lustria"/>
          <w:i/>
          <w:iCs/>
          <w:sz w:val="24"/>
          <w:szCs w:val="24"/>
        </w:rPr>
        <w:t>Jurnal Kebijakan Ekonomi</w:t>
      </w:r>
      <w:r w:rsidRPr="00650312">
        <w:rPr>
          <w:rFonts w:eastAsia="Lustria"/>
          <w:sz w:val="24"/>
          <w:szCs w:val="24"/>
        </w:rPr>
        <w:t>, 5(2), 100-115.</w:t>
      </w:r>
    </w:p>
    <w:p w14:paraId="05D2C71C"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H. Li, et al. (2021). Pengaruh Instrumen Kebijakan Moneter terhadap Stabilitas Ekonomi di Indonesia. </w:t>
      </w:r>
      <w:r w:rsidRPr="00650312">
        <w:rPr>
          <w:rFonts w:eastAsia="Lustria"/>
          <w:i/>
          <w:iCs/>
          <w:sz w:val="24"/>
          <w:szCs w:val="24"/>
        </w:rPr>
        <w:t>Jurnal Penelitian Ekonomi</w:t>
      </w:r>
      <w:r w:rsidRPr="00650312">
        <w:rPr>
          <w:rFonts w:eastAsia="Lustria"/>
          <w:sz w:val="24"/>
          <w:szCs w:val="24"/>
        </w:rPr>
        <w:t>, 10(3), 150-165.</w:t>
      </w:r>
    </w:p>
    <w:p w14:paraId="022D3E10"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Juhro, S., &amp; Iyke, B. N. (2020). Monetary Policy and Financial Conditions in Indonesia: An Empirical Analysis. Asian Economic Policy Review, 15(1), 45-67.</w:t>
      </w:r>
    </w:p>
    <w:p w14:paraId="1CB2AAD4"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Nur Aini Latifah, N. (2015). Tantangan dan Penyesuaian Strategi Kebijakan Moneter Bank Indonesia. </w:t>
      </w:r>
      <w:r w:rsidRPr="00650312">
        <w:rPr>
          <w:rFonts w:eastAsia="Lustria"/>
          <w:i/>
          <w:iCs/>
          <w:sz w:val="24"/>
          <w:szCs w:val="24"/>
        </w:rPr>
        <w:t>Jurnal Ekonomi Makro</w:t>
      </w:r>
      <w:r w:rsidRPr="00650312">
        <w:rPr>
          <w:rFonts w:eastAsia="Lustria"/>
          <w:sz w:val="24"/>
          <w:szCs w:val="24"/>
        </w:rPr>
        <w:t>, 3(2), 75-89.</w:t>
      </w:r>
    </w:p>
    <w:p w14:paraId="0D5057A5"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Puspita Riadina, R. (2024). Peran Strategis Kebijakan Moneter BI dalam Stabilitas Makroekonomi Indonesia. </w:t>
      </w:r>
      <w:r w:rsidRPr="00650312">
        <w:rPr>
          <w:rFonts w:eastAsia="Lustria"/>
          <w:i/>
          <w:iCs/>
          <w:sz w:val="24"/>
          <w:szCs w:val="24"/>
        </w:rPr>
        <w:t>Jurnal Ekonomi dan Kebijakan Publik,</w:t>
      </w:r>
      <w:r w:rsidRPr="00650312">
        <w:rPr>
          <w:rFonts w:eastAsia="Lustria"/>
          <w:sz w:val="24"/>
          <w:szCs w:val="24"/>
        </w:rPr>
        <w:t xml:space="preserve"> 9(1), 33-50.</w:t>
      </w:r>
    </w:p>
    <w:p w14:paraId="5E3F0A24"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Ranteallo, M., et al. (2024). Koordinasi Kebijakan Moneter dan Fiskal dalam Menghadapi Tantangan Global. </w:t>
      </w:r>
      <w:r w:rsidRPr="00650312">
        <w:rPr>
          <w:rFonts w:eastAsia="Lustria"/>
          <w:i/>
          <w:iCs/>
          <w:sz w:val="24"/>
          <w:szCs w:val="24"/>
        </w:rPr>
        <w:t>Jurnal Ilmu Ekonomi,</w:t>
      </w:r>
      <w:r w:rsidRPr="00650312">
        <w:rPr>
          <w:rFonts w:eastAsia="Lustria"/>
          <w:sz w:val="24"/>
          <w:szCs w:val="24"/>
        </w:rPr>
        <w:t xml:space="preserve"> 11(4), 200-215.</w:t>
      </w:r>
    </w:p>
    <w:p w14:paraId="3374DF92" w14:textId="77777777" w:rsidR="007F65DA" w:rsidRPr="00650312" w:rsidRDefault="007F65DA">
      <w:pPr>
        <w:spacing w:before="240" w:after="240"/>
        <w:ind w:left="566" w:hanging="566"/>
        <w:jc w:val="both"/>
        <w:rPr>
          <w:rFonts w:eastAsia="Lustria"/>
          <w:sz w:val="24"/>
          <w:szCs w:val="24"/>
        </w:rPr>
      </w:pPr>
      <w:r w:rsidRPr="00650312">
        <w:rPr>
          <w:rFonts w:eastAsia="Lustria"/>
          <w:sz w:val="24"/>
          <w:szCs w:val="24"/>
        </w:rPr>
        <w:t xml:space="preserve"> </w:t>
      </w:r>
    </w:p>
    <w:p w14:paraId="25B1AB5F" w14:textId="77777777" w:rsidR="007F65DA" w:rsidRPr="00650312" w:rsidRDefault="007F65DA">
      <w:pPr>
        <w:spacing w:before="240" w:after="240"/>
        <w:ind w:left="566" w:hanging="566"/>
        <w:jc w:val="both"/>
        <w:rPr>
          <w:rFonts w:eastAsia="Lustria"/>
          <w:sz w:val="24"/>
          <w:szCs w:val="24"/>
        </w:rPr>
      </w:pPr>
    </w:p>
    <w:p w14:paraId="00000047" w14:textId="77777777" w:rsidR="00C9609D" w:rsidRPr="00650312" w:rsidRDefault="00C9609D">
      <w:pPr>
        <w:spacing w:before="240" w:after="240"/>
        <w:ind w:left="566" w:hanging="566"/>
        <w:jc w:val="both"/>
        <w:rPr>
          <w:rFonts w:eastAsia="Lustria"/>
          <w:sz w:val="24"/>
          <w:szCs w:val="24"/>
        </w:rPr>
      </w:pPr>
    </w:p>
    <w:p w14:paraId="00000048" w14:textId="77777777" w:rsidR="00C9609D" w:rsidRPr="00650312" w:rsidRDefault="00C9609D">
      <w:pPr>
        <w:ind w:firstLine="0"/>
        <w:jc w:val="left"/>
        <w:rPr>
          <w:rFonts w:eastAsia="Lustria"/>
          <w:b/>
          <w:sz w:val="24"/>
          <w:szCs w:val="24"/>
        </w:rPr>
      </w:pPr>
    </w:p>
    <w:sectPr w:rsidR="00C9609D" w:rsidRPr="00650312">
      <w:pgSz w:w="11906" w:h="16838"/>
      <w:pgMar w:top="1440" w:right="1440" w:bottom="1440" w:left="1440"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2B7D"/>
    <w:multiLevelType w:val="hybridMultilevel"/>
    <w:tmpl w:val="0A98B778"/>
    <w:lvl w:ilvl="0" w:tplc="FFFFFFFF">
      <w:start w:val="3"/>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3F11DA4"/>
    <w:multiLevelType w:val="hybridMultilevel"/>
    <w:tmpl w:val="13D8C71A"/>
    <w:lvl w:ilvl="0" w:tplc="FFFFFFF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C84927"/>
    <w:multiLevelType w:val="hybridMultilevel"/>
    <w:tmpl w:val="4E429012"/>
    <w:lvl w:ilvl="0" w:tplc="FFFFFFF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4967226"/>
    <w:multiLevelType w:val="multilevel"/>
    <w:tmpl w:val="55868C5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ED75B1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0531731">
    <w:abstractNumId w:val="4"/>
  </w:num>
  <w:num w:numId="2" w16cid:durableId="2107263781">
    <w:abstractNumId w:val="3"/>
  </w:num>
  <w:num w:numId="3" w16cid:durableId="241835670">
    <w:abstractNumId w:val="2"/>
  </w:num>
  <w:num w:numId="4" w16cid:durableId="603615282">
    <w:abstractNumId w:val="0"/>
  </w:num>
  <w:num w:numId="5" w16cid:durableId="1720474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09D"/>
    <w:rsid w:val="00015582"/>
    <w:rsid w:val="00021881"/>
    <w:rsid w:val="00027ABC"/>
    <w:rsid w:val="00070F11"/>
    <w:rsid w:val="00073BD2"/>
    <w:rsid w:val="00075FA7"/>
    <w:rsid w:val="000774E2"/>
    <w:rsid w:val="000B035B"/>
    <w:rsid w:val="000C3C6A"/>
    <w:rsid w:val="000F1499"/>
    <w:rsid w:val="00103978"/>
    <w:rsid w:val="001069C4"/>
    <w:rsid w:val="00107C09"/>
    <w:rsid w:val="00137BE8"/>
    <w:rsid w:val="00154F4D"/>
    <w:rsid w:val="0018276A"/>
    <w:rsid w:val="001A113D"/>
    <w:rsid w:val="001A2DF8"/>
    <w:rsid w:val="001D67D4"/>
    <w:rsid w:val="001E09AC"/>
    <w:rsid w:val="00221366"/>
    <w:rsid w:val="002D4039"/>
    <w:rsid w:val="00303EFA"/>
    <w:rsid w:val="00352F51"/>
    <w:rsid w:val="00365A67"/>
    <w:rsid w:val="00377FA1"/>
    <w:rsid w:val="003D123C"/>
    <w:rsid w:val="004049B7"/>
    <w:rsid w:val="00411AF3"/>
    <w:rsid w:val="00421A36"/>
    <w:rsid w:val="00467A12"/>
    <w:rsid w:val="00484724"/>
    <w:rsid w:val="004E4F99"/>
    <w:rsid w:val="0053411F"/>
    <w:rsid w:val="005A23DE"/>
    <w:rsid w:val="005B1993"/>
    <w:rsid w:val="00602380"/>
    <w:rsid w:val="00650312"/>
    <w:rsid w:val="00655C7C"/>
    <w:rsid w:val="006B7B6F"/>
    <w:rsid w:val="006D7A29"/>
    <w:rsid w:val="00787EBC"/>
    <w:rsid w:val="007B460A"/>
    <w:rsid w:val="007B4828"/>
    <w:rsid w:val="007C5B9F"/>
    <w:rsid w:val="007F1347"/>
    <w:rsid w:val="007F65DA"/>
    <w:rsid w:val="00825D8C"/>
    <w:rsid w:val="00826B13"/>
    <w:rsid w:val="00832399"/>
    <w:rsid w:val="00836CFA"/>
    <w:rsid w:val="008404C8"/>
    <w:rsid w:val="00874A6F"/>
    <w:rsid w:val="008A4841"/>
    <w:rsid w:val="008A59D0"/>
    <w:rsid w:val="008C7BDA"/>
    <w:rsid w:val="009159E7"/>
    <w:rsid w:val="00921E55"/>
    <w:rsid w:val="00944E15"/>
    <w:rsid w:val="009C1643"/>
    <w:rsid w:val="009E29E3"/>
    <w:rsid w:val="009F10C0"/>
    <w:rsid w:val="00A07E67"/>
    <w:rsid w:val="00A3363C"/>
    <w:rsid w:val="00A82315"/>
    <w:rsid w:val="00AB7A04"/>
    <w:rsid w:val="00AD1BE8"/>
    <w:rsid w:val="00B170AF"/>
    <w:rsid w:val="00BC47B4"/>
    <w:rsid w:val="00C16FE5"/>
    <w:rsid w:val="00C67EBA"/>
    <w:rsid w:val="00C905D4"/>
    <w:rsid w:val="00C9609D"/>
    <w:rsid w:val="00C97610"/>
    <w:rsid w:val="00CB541D"/>
    <w:rsid w:val="00CF17EE"/>
    <w:rsid w:val="00D22BBE"/>
    <w:rsid w:val="00D3625A"/>
    <w:rsid w:val="00D533A7"/>
    <w:rsid w:val="00D62F85"/>
    <w:rsid w:val="00D632F4"/>
    <w:rsid w:val="00D90009"/>
    <w:rsid w:val="00DB0469"/>
    <w:rsid w:val="00E26A3C"/>
    <w:rsid w:val="00E763B5"/>
    <w:rsid w:val="00EB03BF"/>
    <w:rsid w:val="00ED1820"/>
    <w:rsid w:val="00EE0FE3"/>
    <w:rsid w:val="00F32E45"/>
    <w:rsid w:val="00F50FF2"/>
    <w:rsid w:val="00F64ECB"/>
    <w:rsid w:val="00FC27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64190E1C"/>
  <w15:docId w15:val="{DF77FB1D-EA9A-1E45-9C0D-7536BE66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fi-FI" w:eastAsia="id-ID" w:bidi="ar-SA"/>
      </w:rPr>
    </w:rPrDefault>
    <w:pPrDefault>
      <w:pPr>
        <w:ind w:firstLine="56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unhideWhenUsed/>
    <w:qFormat/>
    <w:pPr>
      <w:keepNext/>
      <w:spacing w:before="240" w:after="60"/>
      <w:outlineLvl w:val="1"/>
    </w:pPr>
    <w:rPr>
      <w:b/>
      <w:i/>
      <w:sz w:val="22"/>
      <w:szCs w:val="22"/>
    </w:rPr>
  </w:style>
  <w:style w:type="paragraph" w:styleId="Judul3">
    <w:name w:val="heading 3"/>
    <w:basedOn w:val="Normal"/>
    <w:next w:val="Normal"/>
    <w:uiPriority w:val="9"/>
    <w:unhideWhenUsed/>
    <w:qFormat/>
    <w:pPr>
      <w:keepNext/>
      <w:pBdr>
        <w:top w:val="nil"/>
        <w:left w:val="nil"/>
        <w:bottom w:val="nil"/>
        <w:right w:val="nil"/>
        <w:between w:val="nil"/>
      </w:pBdr>
      <w:ind w:firstLine="0"/>
      <w:jc w:val="both"/>
      <w:outlineLvl w:val="2"/>
    </w:pPr>
    <w:rPr>
      <w:i/>
      <w:color w:val="000000"/>
      <w:sz w:val="22"/>
      <w:szCs w:val="22"/>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pBdr>
        <w:top w:val="nil"/>
        <w:left w:val="nil"/>
        <w:bottom w:val="nil"/>
        <w:right w:val="nil"/>
        <w:between w:val="nil"/>
      </w:pBdr>
      <w:ind w:firstLine="0"/>
      <w:jc w:val="both"/>
    </w:pPr>
    <w:rPr>
      <w:b/>
      <w:color w:val="000000"/>
      <w:sz w:val="22"/>
      <w:szCs w:val="2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rPr>
      <w:sz w:val="20"/>
      <w:szCs w:val="20"/>
    </w:rPr>
    <w:tblPr>
      <w:tblStyleRowBandSize w:val="1"/>
      <w:tblStyleColBandSize w:val="1"/>
    </w:tblPr>
  </w:style>
  <w:style w:type="character" w:styleId="Hyperlink">
    <w:name w:val="Hyperlink"/>
    <w:basedOn w:val="FontParagrafDefault"/>
    <w:uiPriority w:val="99"/>
    <w:unhideWhenUsed/>
    <w:rsid w:val="00AB65FB"/>
    <w:rPr>
      <w:color w:val="0000FF" w:themeColor="hyperlink"/>
      <w:u w:val="single"/>
    </w:rPr>
  </w:style>
  <w:style w:type="character" w:styleId="SebutanYangBelumTerselesaikan">
    <w:name w:val="Unresolved Mention"/>
    <w:basedOn w:val="FontParagrafDefault"/>
    <w:uiPriority w:val="99"/>
    <w:semiHidden/>
    <w:unhideWhenUsed/>
    <w:rsid w:val="00AB65FB"/>
    <w:rPr>
      <w:color w:val="605E5C"/>
      <w:shd w:val="clear" w:color="auto" w:fill="E1DFDD"/>
    </w:rPr>
  </w:style>
  <w:style w:type="paragraph" w:styleId="DaftarParagraf">
    <w:name w:val="List Paragraph"/>
    <w:basedOn w:val="Normal"/>
    <w:uiPriority w:val="34"/>
    <w:qFormat/>
    <w:rsid w:val="00A33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lhanputra@gmail.com" TargetMode="External" /><Relationship Id="rId3" Type="http://schemas.openxmlformats.org/officeDocument/2006/relationships/styles" Target="styles.xml" /><Relationship Id="rId7" Type="http://schemas.openxmlformats.org/officeDocument/2006/relationships/hyperlink" Target="mailto:muhammadalfarizi@gmail.com" TargetMode="Externa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refaniinadiah05@gmail.com" TargetMode="Externa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hyperlink" Target="mailto:demasandzy@gmail.com" TargetMode="External" /><Relationship Id="rId4" Type="http://schemas.openxmlformats.org/officeDocument/2006/relationships/settings" Target="settings.xml" /><Relationship Id="rId9" Type="http://schemas.openxmlformats.org/officeDocument/2006/relationships/hyperlink" Target="mailto:ahmaddenny@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OKLQTfRFBem38RUWRC+lXUfnbg==">CgMxLjA4AHIhMW04M3FSd3lWaF9lS2NKSVdzaFBuYjA0aGFOcTIycmtq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2175</Words>
  <Characters>12403</Characters>
  <Application>Microsoft Office Word</Application>
  <DocSecurity>0</DocSecurity>
  <Lines>103</Lines>
  <Paragraphs>29</Paragraphs>
  <ScaleCrop>false</ScaleCrop>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refaniinadiah05@gmail.com</cp:lastModifiedBy>
  <cp:revision>2</cp:revision>
  <dcterms:created xsi:type="dcterms:W3CDTF">2025-01-30T15:50:00Z</dcterms:created>
  <dcterms:modified xsi:type="dcterms:W3CDTF">2025-01-30T15:50:00Z</dcterms:modified>
</cp:coreProperties>
</file>